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258D5">
      <w:pPr>
        <w:spacing w:before="156" w:beforeLines="50" w:after="156" w:afterLines="50" w:line="360" w:lineRule="auto"/>
        <w:rPr>
          <w:rFonts w:ascii="Times New Roman" w:hAnsi="Times New Roman" w:eastAsia="宋体" w:cs="Times New Roman (正文 CS 字体)"/>
          <w:b/>
          <w:bCs/>
          <w:sz w:val="24"/>
        </w:rPr>
      </w:pPr>
      <w:r>
        <w:rPr>
          <w:rFonts w:hint="eastAsia" w:ascii="Times New Roman" w:hAnsi="Times New Roman" w:eastAsia="宋体" w:cs="Times New Roman (正文 CS 字体)"/>
          <w:b/>
          <w:bCs/>
          <w:sz w:val="24"/>
        </w:rPr>
        <w:t>附：上海人民出版社注释格式</w:t>
      </w:r>
    </w:p>
    <w:p w14:paraId="3336980E">
      <w:p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中文文献：</w:t>
      </w:r>
    </w:p>
    <w:p w14:paraId="50741F29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秦亚青：《关系与过程—中国国际关系理论的文化建</w:t>
      </w:r>
      <w:bookmarkStart w:id="0" w:name="_GoBack"/>
      <w:bookmarkEnd w:id="0"/>
      <w:r>
        <w:rPr>
          <w:rFonts w:hint="eastAsia" w:ascii="Times New Roman" w:hAnsi="Times New Roman" w:eastAsia="宋体"/>
          <w:sz w:val="24"/>
        </w:rPr>
        <w:t>构》，上海人民出版社2012年版，第177页。</w:t>
      </w:r>
    </w:p>
    <w:p w14:paraId="11DC4C14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[英]苏珊</w:t>
      </w:r>
      <w:r>
        <w:rPr>
          <w:rFonts w:hint="eastAsia" w:ascii="Times New Roman" w:hAnsi="Times New Roman" w:eastAsia="宋体" w:cs="宋体"/>
          <w:sz w:val="24"/>
        </w:rPr>
        <w:t>·</w:t>
      </w:r>
      <w:r>
        <w:rPr>
          <w:rFonts w:hint="eastAsia" w:ascii="Times New Roman" w:hAnsi="Times New Roman" w:eastAsia="宋体"/>
          <w:sz w:val="24"/>
        </w:rPr>
        <w:t>斯特兰奇：《国家与市场》，杨宇光等译，上海人民出版社2012年版，第78—80页。</w:t>
      </w:r>
    </w:p>
    <w:p w14:paraId="4B5F491F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[美]罗伯特</w:t>
      </w:r>
      <w:r>
        <w:rPr>
          <w:rFonts w:hint="eastAsia" w:ascii="Times New Roman" w:hAnsi="Times New Roman" w:eastAsia="宋体" w:cs="宋体"/>
          <w:sz w:val="24"/>
        </w:rPr>
        <w:t>·杰维斯</w:t>
      </w:r>
      <w:r>
        <w:rPr>
          <w:rFonts w:hint="eastAsia" w:ascii="Times New Roman" w:hAnsi="Times New Roman" w:eastAsia="宋体"/>
          <w:sz w:val="24"/>
        </w:rPr>
        <w:t>：《世界政治研究中的现实主义》，载[美]彼得</w:t>
      </w:r>
      <w:r>
        <w:rPr>
          <w:rFonts w:hint="eastAsia" w:ascii="Times New Roman" w:hAnsi="Times New Roman" w:eastAsia="宋体" w:cs="宋体"/>
          <w:sz w:val="24"/>
        </w:rPr>
        <w:t>·卡赞斯坦</w:t>
      </w:r>
      <w:r>
        <w:rPr>
          <w:rFonts w:hint="eastAsia" w:ascii="Times New Roman" w:hAnsi="Times New Roman" w:eastAsia="宋体"/>
          <w:sz w:val="24"/>
        </w:rPr>
        <w:t>等：《世界政治理论的探索与争鸣》，秦亚青等译，上海人民出版社2006年版，第6—8、10页。（文章出自某本著作）</w:t>
      </w:r>
    </w:p>
    <w:p w14:paraId="21850A66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（如页码与上书不一致）同上书，第80页。</w:t>
      </w:r>
    </w:p>
    <w:p w14:paraId="07ECA042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（如页码与上书一致）同上。</w:t>
      </w:r>
    </w:p>
    <w:p w14:paraId="1BCCB61B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周弘：《中国援外六十年的回顾与展望》，《外交评论》2010年第5期，第8页。</w:t>
      </w:r>
    </w:p>
    <w:p w14:paraId="1772F125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（如页码与上文不一致）同上文，第7页。</w:t>
      </w:r>
    </w:p>
    <w:p w14:paraId="2F99C8EC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（如页码与上文一致）同上。</w:t>
      </w:r>
    </w:p>
    <w:p w14:paraId="39BDCD37">
      <w:pPr>
        <w:numPr>
          <w:ilvl w:val="0"/>
          <w:numId w:val="1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董洪亮：《国外学习汉语的需求急剧增长》，人民网，2009年12月5日，http://culture.people.com.cn/GB/10520147.html。</w:t>
      </w:r>
    </w:p>
    <w:p w14:paraId="41769BC2">
      <w:p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  <w:u w:val="single"/>
        </w:rPr>
        <w:t>注：注释中“参见”“见”“参照”等用法皆可，但须全书用法统一。</w:t>
      </w:r>
    </w:p>
    <w:p w14:paraId="7E424713">
      <w:pPr>
        <w:spacing w:line="360" w:lineRule="auto"/>
        <w:rPr>
          <w:rFonts w:ascii="Times New Roman" w:hAnsi="Times New Roman" w:eastAsia="宋体"/>
          <w:sz w:val="24"/>
        </w:rPr>
      </w:pPr>
    </w:p>
    <w:p w14:paraId="4FADAFCB">
      <w:p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英文文献：</w:t>
      </w:r>
    </w:p>
    <w:p w14:paraId="553DDD61">
      <w:pPr>
        <w:numPr>
          <w:ilvl w:val="0"/>
          <w:numId w:val="2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 xml:space="preserve">Richard Ned Lebow, </w:t>
      </w:r>
      <w:r>
        <w:rPr>
          <w:rFonts w:hint="eastAsia" w:ascii="Times New Roman" w:hAnsi="Times New Roman" w:eastAsia="宋体"/>
          <w:i/>
          <w:iCs/>
          <w:sz w:val="24"/>
        </w:rPr>
        <w:t>Why Nations Fight</w:t>
      </w:r>
      <w:r>
        <w:rPr>
          <w:rFonts w:hint="eastAsia" w:ascii="Times New Roman" w:hAnsi="Times New Roman" w:eastAsia="宋体"/>
          <w:sz w:val="24"/>
        </w:rPr>
        <w:t>, New York: Cambridge University Press, 2010, pp.140—147.</w:t>
      </w:r>
    </w:p>
    <w:p w14:paraId="4162BBE3">
      <w:pPr>
        <w:numPr>
          <w:ilvl w:val="0"/>
          <w:numId w:val="2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 xml:space="preserve">Jobathan Gosnell, </w:t>
      </w:r>
      <w:r>
        <w:rPr>
          <w:rFonts w:ascii="Times New Roman" w:hAnsi="Times New Roman" w:eastAsia="宋体"/>
          <w:sz w:val="24"/>
        </w:rPr>
        <w:t>“</w:t>
      </w:r>
      <w:r>
        <w:rPr>
          <w:rFonts w:hint="eastAsia" w:ascii="Times New Roman" w:hAnsi="Times New Roman" w:eastAsia="宋体"/>
          <w:sz w:val="24"/>
        </w:rPr>
        <w:t>The Alliance Francaise, Empire and America,</w:t>
      </w:r>
      <w:r>
        <w:rPr>
          <w:rFonts w:ascii="Times New Roman" w:hAnsi="Times New Roman" w:eastAsia="宋体"/>
          <w:sz w:val="24"/>
        </w:rPr>
        <w:t>”</w:t>
      </w:r>
      <w:r>
        <w:rPr>
          <w:rFonts w:hint="eastAsia" w:ascii="Times New Roman" w:hAnsi="Times New Roman" w:eastAsia="宋体"/>
          <w:sz w:val="24"/>
        </w:rPr>
        <w:t xml:space="preserve"> </w:t>
      </w:r>
      <w:r>
        <w:rPr>
          <w:rFonts w:hint="eastAsia" w:ascii="Times New Roman" w:hAnsi="Times New Roman" w:eastAsia="宋体"/>
          <w:i/>
          <w:iCs/>
          <w:sz w:val="24"/>
        </w:rPr>
        <w:t>French Cultural Studies</w:t>
      </w:r>
      <w:r>
        <w:rPr>
          <w:rFonts w:hint="eastAsia" w:ascii="Times New Roman" w:hAnsi="Times New Roman" w:eastAsia="宋体"/>
          <w:sz w:val="24"/>
        </w:rPr>
        <w:t>, Vol.19, No.2, p.227.</w:t>
      </w:r>
    </w:p>
    <w:p w14:paraId="03CED1A7">
      <w:pPr>
        <w:numPr>
          <w:ilvl w:val="0"/>
          <w:numId w:val="2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J. Ock Yum,</w:t>
      </w:r>
      <w:r>
        <w:rPr>
          <w:rFonts w:ascii="Times New Roman" w:hAnsi="Times New Roman" w:eastAsia="宋体"/>
          <w:sz w:val="24"/>
        </w:rPr>
        <w:t xml:space="preserve"> “</w:t>
      </w:r>
      <w:r>
        <w:rPr>
          <w:rFonts w:hint="eastAsia" w:ascii="Times New Roman" w:hAnsi="Times New Roman" w:eastAsia="宋体"/>
          <w:sz w:val="24"/>
        </w:rPr>
        <w:t>The Impact of Confucianism on International Relationships and Communication Patterns in East Asia,</w:t>
      </w:r>
      <w:r>
        <w:rPr>
          <w:rFonts w:ascii="Times New Roman" w:hAnsi="Times New Roman" w:eastAsia="宋体"/>
          <w:sz w:val="24"/>
        </w:rPr>
        <w:t>”</w:t>
      </w:r>
      <w:r>
        <w:rPr>
          <w:rFonts w:hint="eastAsia" w:ascii="Times New Roman" w:hAnsi="Times New Roman" w:eastAsia="宋体"/>
          <w:sz w:val="24"/>
        </w:rPr>
        <w:t xml:space="preserve"> in L. A. Samovar and R. E. Porter, eds., </w:t>
      </w:r>
      <w:r>
        <w:rPr>
          <w:rFonts w:hint="eastAsia" w:ascii="Times New Roman" w:hAnsi="Times New Roman" w:eastAsia="宋体"/>
          <w:i/>
          <w:iCs/>
          <w:sz w:val="24"/>
        </w:rPr>
        <w:t>Intercultural Communication，</w:t>
      </w:r>
      <w:r>
        <w:rPr>
          <w:rFonts w:hint="eastAsia" w:ascii="Times New Roman" w:hAnsi="Times New Roman" w:eastAsia="宋体"/>
          <w:sz w:val="24"/>
        </w:rPr>
        <w:t>California:Wadsworth Publishing Company, 2000, pp.60—65，100.</w:t>
      </w:r>
    </w:p>
    <w:p w14:paraId="304DB382">
      <w:pPr>
        <w:numPr>
          <w:ilvl w:val="0"/>
          <w:numId w:val="2"/>
        </w:numPr>
        <w:spacing w:line="360" w:lineRule="auto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Ibid.(,p.100.)</w:t>
      </w:r>
    </w:p>
    <w:p w14:paraId="398A95D2">
      <w:pPr>
        <w:spacing w:line="360" w:lineRule="auto"/>
        <w:rPr>
          <w:rFonts w:hint="eastAsia" w:ascii="Times New Roman" w:hAnsi="Times New Roman" w:eastAsia="宋体" w:cs="Times New Roman (正文 CS 字体)"/>
          <w:sz w:val="24"/>
        </w:rPr>
      </w:pPr>
      <w:r>
        <w:rPr>
          <w:rFonts w:hint="eastAsia" w:ascii="Times New Roman" w:hAnsi="Times New Roman" w:eastAsia="宋体"/>
          <w:sz w:val="24"/>
        </w:rPr>
        <w:t>其他外语文献可直接使用原语言，也可附上书籍或文章名称的中文翻译。</w:t>
      </w:r>
    </w:p>
    <w:p w14:paraId="6ECC15D2">
      <w:pPr>
        <w:spacing w:line="360" w:lineRule="auto"/>
        <w:rPr>
          <w:rFonts w:ascii="Times New Roman" w:hAnsi="Times New Roman" w:eastAsia="宋体"/>
          <w:sz w:val="24"/>
          <w:highlight w:val="none"/>
        </w:rPr>
      </w:pPr>
    </w:p>
    <w:p w14:paraId="3DBC83AB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5"/>
      </w:rPr>
      <w:id w:val="-1461712224"/>
      <w:docPartObj>
        <w:docPartGallery w:val="autotext"/>
      </w:docPartObj>
    </w:sdtPr>
    <w:sdtEndPr>
      <w:rPr>
        <w:rStyle w:val="5"/>
      </w:rPr>
    </w:sdtEndPr>
    <w:sdtContent>
      <w:p w14:paraId="77F0FC3B">
        <w:pPr>
          <w:pStyle w:val="2"/>
          <w:framePr w:wrap="auto" w:vAnchor="text" w:hAnchor="margin" w:xAlign="center" w:y="1"/>
          <w:rPr>
            <w:rStyle w:val="5"/>
          </w:rPr>
        </w:pPr>
        <w:r>
          <w:rPr>
            <w:rStyle w:val="5"/>
          </w:rPr>
          <w:fldChar w:fldCharType="begin"/>
        </w:r>
        <w:r>
          <w:rPr>
            <w:rStyle w:val="5"/>
          </w:rPr>
          <w:instrText xml:space="preserve"> PAGE </w:instrText>
        </w:r>
        <w:r>
          <w:rPr>
            <w:rStyle w:val="5"/>
          </w:rPr>
          <w:fldChar w:fldCharType="separate"/>
        </w:r>
        <w:r>
          <w:rPr>
            <w:rStyle w:val="5"/>
          </w:rPr>
          <w:t>1</w:t>
        </w:r>
        <w:r>
          <w:rPr>
            <w:rStyle w:val="5"/>
          </w:rPr>
          <w:fldChar w:fldCharType="end"/>
        </w:r>
      </w:p>
    </w:sdtContent>
  </w:sdt>
  <w:p w14:paraId="73095B7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5"/>
      </w:rPr>
      <w:id w:val="-1675874231"/>
      <w:docPartObj>
        <w:docPartGallery w:val="autotext"/>
      </w:docPartObj>
    </w:sdtPr>
    <w:sdtEndPr>
      <w:rPr>
        <w:rStyle w:val="5"/>
      </w:rPr>
    </w:sdtEndPr>
    <w:sdtContent>
      <w:p w14:paraId="66DB6F97">
        <w:pPr>
          <w:pStyle w:val="2"/>
          <w:framePr w:wrap="auto" w:vAnchor="text" w:hAnchor="margin" w:xAlign="center" w:y="1"/>
          <w:rPr>
            <w:rStyle w:val="5"/>
          </w:rPr>
        </w:pPr>
        <w:r>
          <w:rPr>
            <w:rStyle w:val="5"/>
          </w:rPr>
          <w:fldChar w:fldCharType="begin"/>
        </w:r>
        <w:r>
          <w:rPr>
            <w:rStyle w:val="5"/>
          </w:rPr>
          <w:instrText xml:space="preserve"> PAGE </w:instrText>
        </w:r>
        <w:r>
          <w:rPr>
            <w:rStyle w:val="5"/>
          </w:rPr>
          <w:fldChar w:fldCharType="separate"/>
        </w:r>
        <w:r>
          <w:rPr>
            <w:rStyle w:val="5"/>
          </w:rPr>
          <w:fldChar w:fldCharType="end"/>
        </w:r>
      </w:p>
    </w:sdtContent>
  </w:sdt>
  <w:p w14:paraId="0B54DDBC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F1CE2"/>
    <w:rsid w:val="255F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2026-03-30T07:50:00Z</dcterms:created>
  <dc:creator>Haoyue</dc:creator>
  <cp:lastModifiedBy>Haoyue</cp:lastModifiedBy>
  <dcterms:modified xsi:type="dcterms:W3CDTF">2026-03-30T07:51:10Z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D3F0E4BD793842DB837606FE4F13AA72_11</vt:lpwstr>
  </property>
  <property fmtid="{D5CDD505-2E9C-101B-9397-08002B2CF9AE}" pid="4" name="KSOTemplateDocerSaveRecord">
    <vt:lpwstr>eyJoZGlkIjoiMGE0MDhlZWU2MWU2ZGZmYzZjOTI0NDdkZGFjZjFlMzgiLCJ1c2VySWQiOiI1OTQ3NjYxMzUifQ==</vt:lpwstr>
  </property>
</Properties>
</file>